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2CC" w:rsidRPr="007D62CC" w:rsidRDefault="007D62CC" w:rsidP="007D62CC">
      <w:pPr>
        <w:widowControl w:val="0"/>
        <w:spacing w:after="0" w:line="360" w:lineRule="auto"/>
        <w:jc w:val="both"/>
        <w:rPr>
          <w:rFonts w:ascii="Times New Roman" w:eastAsia="Calibri" w:hAnsi="Times New Roman" w:cs="Times New Roman"/>
          <w:sz w:val="28"/>
          <w:szCs w:val="28"/>
        </w:rPr>
      </w:pPr>
      <w:r w:rsidRPr="007D62CC">
        <w:rPr>
          <w:rFonts w:ascii="Times New Roman" w:eastAsia="Calibri" w:hAnsi="Times New Roman" w:cs="Times New Roman"/>
          <w:sz w:val="28"/>
          <w:szCs w:val="28"/>
        </w:rPr>
        <w:t>Таблица 1 - Основные подходы к определению понятия несостоятельности (банкротства)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9"/>
        <w:gridCol w:w="7422"/>
      </w:tblGrid>
      <w:tr w:rsidR="007D62CC" w:rsidRPr="007D62CC" w:rsidTr="00891FF3">
        <w:tc>
          <w:tcPr>
            <w:tcW w:w="1980" w:type="dxa"/>
          </w:tcPr>
          <w:p w:rsidR="007D62CC" w:rsidRPr="007D62CC" w:rsidRDefault="007D62CC" w:rsidP="007D62CC">
            <w:pPr>
              <w:widowControl w:val="0"/>
              <w:spacing w:after="0" w:line="240" w:lineRule="auto"/>
              <w:jc w:val="center"/>
              <w:rPr>
                <w:rFonts w:ascii="Times New Roman" w:eastAsia="Calibri" w:hAnsi="Times New Roman" w:cs="Times New Roman"/>
                <w:sz w:val="24"/>
                <w:szCs w:val="24"/>
              </w:rPr>
            </w:pPr>
            <w:r w:rsidRPr="007D62CC">
              <w:rPr>
                <w:rFonts w:ascii="Times New Roman" w:eastAsia="Calibri" w:hAnsi="Times New Roman" w:cs="Times New Roman"/>
                <w:sz w:val="24"/>
                <w:szCs w:val="24"/>
              </w:rPr>
              <w:t>Источник</w:t>
            </w:r>
          </w:p>
        </w:tc>
        <w:tc>
          <w:tcPr>
            <w:tcW w:w="7767" w:type="dxa"/>
          </w:tcPr>
          <w:p w:rsidR="007D62CC" w:rsidRPr="007D62CC" w:rsidRDefault="007D62CC" w:rsidP="007D62CC">
            <w:pPr>
              <w:widowControl w:val="0"/>
              <w:spacing w:after="0" w:line="240" w:lineRule="auto"/>
              <w:jc w:val="center"/>
              <w:rPr>
                <w:rFonts w:ascii="Times New Roman" w:eastAsia="Calibri" w:hAnsi="Times New Roman" w:cs="Times New Roman"/>
                <w:sz w:val="24"/>
                <w:szCs w:val="24"/>
              </w:rPr>
            </w:pPr>
            <w:r w:rsidRPr="007D62CC">
              <w:rPr>
                <w:rFonts w:ascii="Times New Roman" w:eastAsia="Calibri" w:hAnsi="Times New Roman" w:cs="Times New Roman"/>
                <w:sz w:val="24"/>
                <w:szCs w:val="24"/>
              </w:rPr>
              <w:t>Определение понятия</w:t>
            </w:r>
          </w:p>
        </w:tc>
      </w:tr>
      <w:tr w:rsidR="007D62CC" w:rsidRPr="007D62CC" w:rsidTr="00891FF3">
        <w:tc>
          <w:tcPr>
            <w:tcW w:w="1980" w:type="dxa"/>
          </w:tcPr>
          <w:p w:rsidR="007D62CC" w:rsidRPr="007D62CC" w:rsidRDefault="007D62CC" w:rsidP="007D62CC">
            <w:pPr>
              <w:widowControl w:val="0"/>
              <w:spacing w:after="0" w:line="240" w:lineRule="auto"/>
              <w:jc w:val="both"/>
              <w:rPr>
                <w:rFonts w:ascii="Times New Roman" w:eastAsia="Calibri" w:hAnsi="Times New Roman" w:cs="Times New Roman"/>
                <w:sz w:val="24"/>
                <w:szCs w:val="24"/>
              </w:rPr>
            </w:pPr>
            <w:r w:rsidRPr="007D62CC">
              <w:rPr>
                <w:rFonts w:ascii="Times New Roman" w:eastAsia="Calibri" w:hAnsi="Times New Roman" w:cs="Times New Roman"/>
                <w:sz w:val="24"/>
                <w:szCs w:val="24"/>
              </w:rPr>
              <w:t xml:space="preserve">Федеральный закон от 26.10.2002 N 127-ФЗ (ред. от 03.07.2016) «О несостоятельности (банкротстве)» (с изм. и доп., вступ. в силу с 01.01.2017) </w:t>
            </w:r>
          </w:p>
        </w:tc>
        <w:tc>
          <w:tcPr>
            <w:tcW w:w="7767" w:type="dxa"/>
            <w:vAlign w:val="center"/>
          </w:tcPr>
          <w:p w:rsidR="007D62CC" w:rsidRPr="007D62CC" w:rsidRDefault="007D62CC" w:rsidP="007D62C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D62CC">
              <w:rPr>
                <w:rFonts w:ascii="Times New Roman" w:eastAsia="Calibri" w:hAnsi="Times New Roman" w:cs="Times New Roman"/>
                <w:sz w:val="24"/>
                <w:szCs w:val="24"/>
                <w:lang w:eastAsia="ru-RU"/>
              </w:rPr>
              <w:t>«несостоятельность (банкротство) —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[4].</w:t>
            </w:r>
          </w:p>
        </w:tc>
      </w:tr>
      <w:tr w:rsidR="007D62CC" w:rsidRPr="007D62CC" w:rsidTr="00891FF3">
        <w:tc>
          <w:tcPr>
            <w:tcW w:w="1980" w:type="dxa"/>
          </w:tcPr>
          <w:p w:rsidR="007D62CC" w:rsidRPr="007D62CC" w:rsidRDefault="007D62CC" w:rsidP="007D62CC">
            <w:pPr>
              <w:widowControl w:val="0"/>
              <w:spacing w:after="0" w:line="240" w:lineRule="auto"/>
              <w:jc w:val="both"/>
              <w:rPr>
                <w:rFonts w:ascii="Times New Roman" w:eastAsia="Calibri" w:hAnsi="Times New Roman" w:cs="Times New Roman"/>
                <w:sz w:val="24"/>
                <w:szCs w:val="24"/>
              </w:rPr>
            </w:pPr>
            <w:r w:rsidRPr="007D62CC">
              <w:rPr>
                <w:rFonts w:ascii="Times New Roman" w:eastAsia="Calibri" w:hAnsi="Times New Roman" w:cs="Times New Roman"/>
                <w:sz w:val="24"/>
                <w:szCs w:val="24"/>
              </w:rPr>
              <w:t>Кован С.Е.</w:t>
            </w:r>
          </w:p>
        </w:tc>
        <w:tc>
          <w:tcPr>
            <w:tcW w:w="7767" w:type="dxa"/>
          </w:tcPr>
          <w:p w:rsidR="007D62CC" w:rsidRPr="007D62CC" w:rsidRDefault="007D62CC" w:rsidP="007D62C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D62CC">
              <w:rPr>
                <w:rFonts w:ascii="Times New Roman" w:eastAsia="Calibri" w:hAnsi="Times New Roman" w:cs="Times New Roman"/>
                <w:sz w:val="24"/>
                <w:szCs w:val="24"/>
                <w:lang w:eastAsia="ru-RU"/>
              </w:rPr>
              <w:t>«банкротство представляет собой особый правовой режим управления организациями – должниками, которые имеют долги перед кредиторами и не могут их погасить сейчас и в ближайшее время» [16].</w:t>
            </w:r>
          </w:p>
        </w:tc>
      </w:tr>
      <w:tr w:rsidR="007D62CC" w:rsidRPr="007D62CC" w:rsidTr="00891FF3">
        <w:tc>
          <w:tcPr>
            <w:tcW w:w="1980" w:type="dxa"/>
          </w:tcPr>
          <w:p w:rsidR="007D62CC" w:rsidRPr="007D62CC" w:rsidRDefault="007D62CC" w:rsidP="007D62CC">
            <w:pPr>
              <w:widowControl w:val="0"/>
              <w:spacing w:after="0" w:line="240" w:lineRule="auto"/>
              <w:jc w:val="both"/>
              <w:rPr>
                <w:rFonts w:ascii="Times New Roman" w:eastAsia="Calibri" w:hAnsi="Times New Roman" w:cs="Times New Roman"/>
                <w:sz w:val="24"/>
                <w:szCs w:val="24"/>
              </w:rPr>
            </w:pPr>
            <w:r w:rsidRPr="007D62CC">
              <w:rPr>
                <w:rFonts w:ascii="Times New Roman" w:eastAsia="Calibri" w:hAnsi="Times New Roman" w:cs="Times New Roman"/>
                <w:sz w:val="24"/>
                <w:szCs w:val="24"/>
              </w:rPr>
              <w:t>Кривошапкина А.Э.</w:t>
            </w:r>
          </w:p>
        </w:tc>
        <w:tc>
          <w:tcPr>
            <w:tcW w:w="7767" w:type="dxa"/>
          </w:tcPr>
          <w:p w:rsidR="007D62CC" w:rsidRPr="007D62CC" w:rsidRDefault="007D62CC" w:rsidP="007D62C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D62CC">
              <w:rPr>
                <w:rFonts w:ascii="Times New Roman" w:eastAsia="Calibri" w:hAnsi="Times New Roman" w:cs="Times New Roman"/>
                <w:sz w:val="24"/>
                <w:szCs w:val="24"/>
                <w:lang w:eastAsia="ru-RU"/>
              </w:rPr>
              <w:t>«экономическая несостоятельность (банкротство) – это неплатежеспособность предприятия, имеющая или приобретающая устойчивый характер, признанная хозяйственным судом или правомерно объявленная должником в соответствии с законодательством» [17].</w:t>
            </w:r>
          </w:p>
        </w:tc>
      </w:tr>
      <w:tr w:rsidR="007D62CC" w:rsidRPr="007D62CC" w:rsidTr="00891FF3">
        <w:tc>
          <w:tcPr>
            <w:tcW w:w="1980" w:type="dxa"/>
          </w:tcPr>
          <w:p w:rsidR="007D62CC" w:rsidRPr="007D62CC" w:rsidRDefault="007D62CC" w:rsidP="007D62CC">
            <w:pPr>
              <w:widowControl w:val="0"/>
              <w:spacing w:after="0" w:line="240" w:lineRule="auto"/>
              <w:jc w:val="both"/>
              <w:rPr>
                <w:rFonts w:ascii="Times New Roman" w:eastAsia="Calibri" w:hAnsi="Times New Roman" w:cs="Times New Roman"/>
                <w:sz w:val="24"/>
                <w:szCs w:val="24"/>
              </w:rPr>
            </w:pPr>
            <w:proofErr w:type="spellStart"/>
            <w:r w:rsidRPr="007D62CC">
              <w:rPr>
                <w:rFonts w:ascii="Times New Roman" w:eastAsia="Calibri" w:hAnsi="Times New Roman" w:cs="Times New Roman"/>
                <w:sz w:val="24"/>
                <w:szCs w:val="24"/>
              </w:rPr>
              <w:t>Бурыкина</w:t>
            </w:r>
            <w:proofErr w:type="spellEnd"/>
            <w:r w:rsidRPr="007D62CC">
              <w:rPr>
                <w:rFonts w:ascii="Times New Roman" w:eastAsia="Calibri" w:hAnsi="Times New Roman" w:cs="Times New Roman"/>
                <w:sz w:val="24"/>
                <w:szCs w:val="24"/>
              </w:rPr>
              <w:t xml:space="preserve"> А.И.</w:t>
            </w:r>
          </w:p>
        </w:tc>
        <w:tc>
          <w:tcPr>
            <w:tcW w:w="7767" w:type="dxa"/>
          </w:tcPr>
          <w:p w:rsidR="007D62CC" w:rsidRPr="007D62CC" w:rsidRDefault="007D62CC" w:rsidP="007D62C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D62CC">
              <w:rPr>
                <w:rFonts w:ascii="Times New Roman" w:eastAsia="Calibri" w:hAnsi="Times New Roman" w:cs="Times New Roman"/>
                <w:sz w:val="24"/>
                <w:szCs w:val="24"/>
                <w:lang w:eastAsia="ru-RU"/>
              </w:rPr>
              <w:t>«институт несостоятельности нередко в экономической и юридической литературе смешивают с банкротством, при этом в строгом юридическом значении банкротство есть лишь одно из возможных последствий, проявлений несостоятельности; банкротство рассматривается как уголовно наказуемое деяние, в то время как несостоятельность считается институтом частного права» [9].</w:t>
            </w:r>
          </w:p>
        </w:tc>
      </w:tr>
      <w:tr w:rsidR="007D62CC" w:rsidRPr="007D62CC" w:rsidTr="00891FF3">
        <w:tc>
          <w:tcPr>
            <w:tcW w:w="1980" w:type="dxa"/>
          </w:tcPr>
          <w:p w:rsidR="007D62CC" w:rsidRPr="007D62CC" w:rsidRDefault="007D62CC" w:rsidP="007D62CC">
            <w:pPr>
              <w:widowControl w:val="0"/>
              <w:spacing w:after="0" w:line="240" w:lineRule="auto"/>
              <w:jc w:val="both"/>
              <w:rPr>
                <w:rFonts w:ascii="Times New Roman" w:eastAsia="Calibri" w:hAnsi="Times New Roman" w:cs="Times New Roman"/>
                <w:sz w:val="24"/>
                <w:szCs w:val="24"/>
              </w:rPr>
            </w:pPr>
            <w:proofErr w:type="spellStart"/>
            <w:r w:rsidRPr="007D62CC">
              <w:rPr>
                <w:rFonts w:ascii="Times New Roman" w:eastAsia="Calibri" w:hAnsi="Times New Roman" w:cs="Times New Roman"/>
                <w:sz w:val="24"/>
                <w:szCs w:val="24"/>
              </w:rPr>
              <w:t>Дюсенов</w:t>
            </w:r>
            <w:proofErr w:type="spellEnd"/>
            <w:r w:rsidRPr="007D62CC">
              <w:rPr>
                <w:rFonts w:ascii="Times New Roman" w:eastAsia="Calibri" w:hAnsi="Times New Roman" w:cs="Times New Roman"/>
                <w:sz w:val="24"/>
                <w:szCs w:val="24"/>
              </w:rPr>
              <w:t xml:space="preserve"> Д.С.</w:t>
            </w:r>
          </w:p>
        </w:tc>
        <w:tc>
          <w:tcPr>
            <w:tcW w:w="7767" w:type="dxa"/>
          </w:tcPr>
          <w:p w:rsidR="007D62CC" w:rsidRPr="007D62CC" w:rsidRDefault="007D62CC" w:rsidP="007D62C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D62CC">
              <w:rPr>
                <w:rFonts w:ascii="Times New Roman" w:eastAsia="Calibri" w:hAnsi="Times New Roman" w:cs="Times New Roman"/>
                <w:sz w:val="24"/>
                <w:szCs w:val="24"/>
                <w:lang w:eastAsia="ru-RU"/>
              </w:rPr>
              <w:t>«под банкротством понимают еще неплатежеспособность, это решение, которое принял арбитраж, по нему определенное лицо должник, не имеющее возможности погасить задолженности перед заимодавцами, должно выполнить свои обязанности по выплате долгов, как только арбитраж зафиксирует, что у должника нет возможности заплатить, неплательщик признается банкротом» [11].</w:t>
            </w:r>
          </w:p>
        </w:tc>
      </w:tr>
      <w:tr w:rsidR="007D62CC" w:rsidRPr="007D62CC" w:rsidTr="00891FF3">
        <w:tc>
          <w:tcPr>
            <w:tcW w:w="1980" w:type="dxa"/>
          </w:tcPr>
          <w:p w:rsidR="007D62CC" w:rsidRPr="007D62CC" w:rsidRDefault="007D62CC" w:rsidP="007D62CC">
            <w:pPr>
              <w:widowControl w:val="0"/>
              <w:spacing w:after="0" w:line="240" w:lineRule="auto"/>
              <w:jc w:val="both"/>
              <w:rPr>
                <w:rFonts w:ascii="Times New Roman" w:eastAsia="Calibri" w:hAnsi="Times New Roman" w:cs="Times New Roman"/>
                <w:sz w:val="24"/>
                <w:szCs w:val="24"/>
              </w:rPr>
            </w:pPr>
            <w:proofErr w:type="spellStart"/>
            <w:r w:rsidRPr="007D62CC">
              <w:rPr>
                <w:rFonts w:ascii="Times New Roman" w:eastAsia="Calibri" w:hAnsi="Times New Roman" w:cs="Times New Roman"/>
                <w:sz w:val="24"/>
                <w:szCs w:val="24"/>
              </w:rPr>
              <w:t>Чурсина</w:t>
            </w:r>
            <w:proofErr w:type="spellEnd"/>
            <w:r w:rsidRPr="007D62CC">
              <w:rPr>
                <w:rFonts w:ascii="Times New Roman" w:eastAsia="Calibri" w:hAnsi="Times New Roman" w:cs="Times New Roman"/>
                <w:sz w:val="24"/>
                <w:szCs w:val="24"/>
              </w:rPr>
              <w:t>, Ю.А.</w:t>
            </w:r>
          </w:p>
        </w:tc>
        <w:tc>
          <w:tcPr>
            <w:tcW w:w="7767" w:type="dxa"/>
          </w:tcPr>
          <w:p w:rsidR="007D62CC" w:rsidRPr="007D62CC" w:rsidRDefault="007D62CC" w:rsidP="007D62C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D62CC">
              <w:rPr>
                <w:rFonts w:ascii="Times New Roman" w:eastAsia="Calibri" w:hAnsi="Times New Roman" w:cs="Times New Roman"/>
                <w:sz w:val="24"/>
                <w:szCs w:val="24"/>
                <w:lang w:eastAsia="ru-RU"/>
              </w:rPr>
              <w:t>«банкротство является умышленным деянием, имеющим своей целью причинение ущерба кредиторам, и наказывается в уголовном порядке» [34].</w:t>
            </w:r>
          </w:p>
        </w:tc>
      </w:tr>
    </w:tbl>
    <w:p w:rsidR="00F94376" w:rsidRDefault="00F94376">
      <w:bookmarkStart w:id="0" w:name="_GoBack"/>
      <w:bookmarkEnd w:id="0"/>
    </w:p>
    <w:sectPr w:rsidR="00F94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0A"/>
    <w:rsid w:val="00020701"/>
    <w:rsid w:val="0042380A"/>
    <w:rsid w:val="007D62CC"/>
    <w:rsid w:val="00927B81"/>
    <w:rsid w:val="00F94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1595</Characters>
  <Application>Microsoft Office Word</Application>
  <DocSecurity>0</DocSecurity>
  <Lines>13</Lines>
  <Paragraphs>3</Paragraphs>
  <ScaleCrop>false</ScaleCrop>
  <Company>SPecialiST RePack</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2020-03-24T03:30:00Z</dcterms:created>
  <dcterms:modified xsi:type="dcterms:W3CDTF">2020-03-24T03:30:00Z</dcterms:modified>
</cp:coreProperties>
</file>